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1F35" w14:textId="77777777" w:rsidR="00DF42F3" w:rsidRDefault="00DA50C4" w:rsidP="00DF42F3">
      <w:pPr>
        <w:spacing w:after="120" w:line="240" w:lineRule="auto"/>
        <w:rPr>
          <w:lang w:val="en-AU"/>
        </w:rPr>
      </w:pPr>
      <w:r w:rsidRPr="00B80207">
        <w:rPr>
          <w:sz w:val="40"/>
          <w:szCs w:val="40"/>
          <w:lang w:val="en-AU"/>
        </w:rPr>
        <w:t>SUMMARY OF AGED CARE/MEDICARE EPC FORUM</w:t>
      </w:r>
      <w:r>
        <w:rPr>
          <w:lang w:val="en-AU"/>
        </w:rPr>
        <w:t xml:space="preserve"> </w:t>
      </w:r>
    </w:p>
    <w:p w14:paraId="6FCF9CB6" w14:textId="5C5AF3DC" w:rsidR="000D3295" w:rsidRDefault="00DA50C4" w:rsidP="00DF42F3">
      <w:pPr>
        <w:spacing w:after="120" w:line="240" w:lineRule="auto"/>
        <w:rPr>
          <w:lang w:val="en-AU"/>
        </w:rPr>
      </w:pPr>
      <w:r>
        <w:rPr>
          <w:lang w:val="en-AU"/>
        </w:rPr>
        <w:t>Sunday 11</w:t>
      </w:r>
      <w:r w:rsidRPr="00DA50C4">
        <w:rPr>
          <w:vertAlign w:val="superscript"/>
          <w:lang w:val="en-AU"/>
        </w:rPr>
        <w:t>th</w:t>
      </w:r>
      <w:r>
        <w:rPr>
          <w:lang w:val="en-AU"/>
        </w:rPr>
        <w:t xml:space="preserve"> February 2018 </w:t>
      </w:r>
    </w:p>
    <w:p w14:paraId="006E8795" w14:textId="77777777" w:rsidR="00DF42F3" w:rsidRDefault="00DF42F3" w:rsidP="00DF42F3">
      <w:pPr>
        <w:spacing w:after="120" w:line="240" w:lineRule="auto"/>
        <w:rPr>
          <w:lang w:val="en-AU"/>
        </w:rPr>
      </w:pPr>
    </w:p>
    <w:p w14:paraId="76D3FBFD" w14:textId="358A716C" w:rsidR="00DA50C4" w:rsidRPr="00DF42F3" w:rsidRDefault="00DA50C4" w:rsidP="00DF42F3">
      <w:pPr>
        <w:spacing w:after="120" w:line="240" w:lineRule="auto"/>
        <w:rPr>
          <w:b/>
          <w:i/>
          <w:lang w:val="en-AU"/>
        </w:rPr>
      </w:pPr>
      <w:r w:rsidRPr="00DF42F3">
        <w:rPr>
          <w:b/>
          <w:i/>
          <w:lang w:val="en-AU"/>
        </w:rPr>
        <w:t xml:space="preserve">ISSUE: current practice of bulk billing high care RACF </w:t>
      </w:r>
      <w:r w:rsidR="00B86751">
        <w:rPr>
          <w:b/>
          <w:i/>
          <w:lang w:val="en-AU"/>
        </w:rPr>
        <w:t xml:space="preserve">(Residential Aged Care Facility) </w:t>
      </w:r>
      <w:r w:rsidRPr="00DF42F3">
        <w:rPr>
          <w:b/>
          <w:i/>
          <w:lang w:val="en-AU"/>
        </w:rPr>
        <w:t>residents through Medicare is questionable. Being fed by corporates to secure contracts and RACFs to save money</w:t>
      </w:r>
    </w:p>
    <w:p w14:paraId="50B154A2" w14:textId="1B2DFA94" w:rsidR="00DF42F3" w:rsidRDefault="00DF42F3" w:rsidP="00DF42F3">
      <w:pPr>
        <w:spacing w:after="120" w:line="240" w:lineRule="auto"/>
        <w:rPr>
          <w:b/>
          <w:i/>
          <w:lang w:val="en-AU"/>
        </w:rPr>
      </w:pPr>
      <w:r w:rsidRPr="00DF42F3">
        <w:rPr>
          <w:b/>
          <w:i/>
          <w:lang w:val="en-AU"/>
        </w:rPr>
        <w:t>Podiatrists are liable however have no power – if they complain they will probably be replaced with a podiatrist who won’t question</w:t>
      </w:r>
      <w:r w:rsidR="00B86751">
        <w:rPr>
          <w:b/>
          <w:i/>
          <w:lang w:val="en-AU"/>
        </w:rPr>
        <w:t xml:space="preserve"> </w:t>
      </w:r>
    </w:p>
    <w:p w14:paraId="4FCE5BA6" w14:textId="3A94878E" w:rsidR="00DF42F3" w:rsidRPr="00DF42F3" w:rsidRDefault="00DF42F3" w:rsidP="00DF42F3">
      <w:pPr>
        <w:spacing w:after="120" w:line="240" w:lineRule="auto"/>
        <w:rPr>
          <w:b/>
          <w:i/>
          <w:lang w:val="en-AU"/>
        </w:rPr>
      </w:pPr>
      <w:r>
        <w:rPr>
          <w:b/>
          <w:i/>
          <w:lang w:val="en-AU"/>
        </w:rPr>
        <w:t xml:space="preserve">RACFs receive funding for </w:t>
      </w:r>
      <w:proofErr w:type="spellStart"/>
      <w:r>
        <w:rPr>
          <w:b/>
          <w:i/>
          <w:lang w:val="en-AU"/>
        </w:rPr>
        <w:t>highcare</w:t>
      </w:r>
      <w:proofErr w:type="spellEnd"/>
      <w:r>
        <w:rPr>
          <w:b/>
          <w:i/>
          <w:lang w:val="en-AU"/>
        </w:rPr>
        <w:t xml:space="preserve"> residents to provide routine p</w:t>
      </w:r>
      <w:r w:rsidR="00B86751">
        <w:rPr>
          <w:b/>
          <w:i/>
          <w:lang w:val="en-AU"/>
        </w:rPr>
        <w:t xml:space="preserve">odiatry care – so bulk billing </w:t>
      </w:r>
      <w:r>
        <w:rPr>
          <w:b/>
          <w:i/>
          <w:lang w:val="en-AU"/>
        </w:rPr>
        <w:t>Medicare is double dipping</w:t>
      </w:r>
    </w:p>
    <w:p w14:paraId="4104C9FF" w14:textId="77777777" w:rsidR="00DF42F3" w:rsidRDefault="00DF42F3" w:rsidP="00DF42F3">
      <w:pPr>
        <w:spacing w:after="120" w:line="240" w:lineRule="auto"/>
        <w:rPr>
          <w:sz w:val="28"/>
          <w:szCs w:val="28"/>
          <w:lang w:val="en-AU"/>
        </w:rPr>
      </w:pPr>
    </w:p>
    <w:p w14:paraId="77E5DEB6" w14:textId="11BAA97D" w:rsidR="00DA50C4" w:rsidRPr="00B80207" w:rsidRDefault="00DA50C4" w:rsidP="00DF42F3">
      <w:pPr>
        <w:spacing w:after="120" w:line="240" w:lineRule="auto"/>
        <w:rPr>
          <w:sz w:val="28"/>
          <w:szCs w:val="28"/>
          <w:lang w:val="en-AU"/>
        </w:rPr>
      </w:pPr>
      <w:r w:rsidRPr="00B80207">
        <w:rPr>
          <w:sz w:val="28"/>
          <w:szCs w:val="28"/>
          <w:lang w:val="en-AU"/>
        </w:rPr>
        <w:t>CLARITY</w:t>
      </w:r>
    </w:p>
    <w:p w14:paraId="5585D139" w14:textId="1F9301F1" w:rsidR="00DA50C4" w:rsidRDefault="00DA50C4" w:rsidP="00DF42F3">
      <w:pPr>
        <w:spacing w:after="120" w:line="240" w:lineRule="auto"/>
        <w:rPr>
          <w:lang w:val="en-AU"/>
        </w:rPr>
      </w:pPr>
      <w:r>
        <w:rPr>
          <w:lang w:val="en-AU"/>
        </w:rPr>
        <w:t>Much of the info from Medicare is ambiguous and “grey”</w:t>
      </w:r>
    </w:p>
    <w:p w14:paraId="65BE4939" w14:textId="5921C25C" w:rsidR="00DA50C4" w:rsidRDefault="00DA50C4" w:rsidP="00DF42F3">
      <w:pPr>
        <w:spacing w:after="120" w:line="240" w:lineRule="auto"/>
        <w:rPr>
          <w:lang w:val="en-AU"/>
        </w:rPr>
      </w:pPr>
      <w:r>
        <w:rPr>
          <w:lang w:val="en-AU"/>
        </w:rPr>
        <w:t>If Medicare audits and finds wrongful billing who is liable for fraud</w:t>
      </w:r>
      <w:r w:rsidR="00DF42F3">
        <w:rPr>
          <w:lang w:val="en-AU"/>
        </w:rPr>
        <w:t xml:space="preserve"> – RACF, GP or pod?</w:t>
      </w:r>
    </w:p>
    <w:p w14:paraId="2A2470CB" w14:textId="019B5336" w:rsidR="00DA50C4" w:rsidRDefault="00DA50C4" w:rsidP="00DF42F3">
      <w:pPr>
        <w:spacing w:after="120" w:line="240" w:lineRule="auto"/>
        <w:rPr>
          <w:lang w:val="en-AU"/>
        </w:rPr>
      </w:pPr>
      <w:r>
        <w:rPr>
          <w:lang w:val="en-AU"/>
        </w:rPr>
        <w:t>Enquiries to Medicare to clarify the situation have failed</w:t>
      </w:r>
    </w:p>
    <w:p w14:paraId="3ED40127" w14:textId="42985DEB" w:rsidR="00DA50C4" w:rsidRDefault="00DF42F3" w:rsidP="00DF42F3">
      <w:pPr>
        <w:spacing w:after="120" w:line="240" w:lineRule="auto"/>
        <w:rPr>
          <w:lang w:val="en-AU"/>
        </w:rPr>
      </w:pPr>
      <w:r>
        <w:rPr>
          <w:lang w:val="en-AU"/>
        </w:rPr>
        <w:t>In the event p</w:t>
      </w:r>
      <w:r w:rsidR="00DA50C4">
        <w:rPr>
          <w:lang w:val="en-AU"/>
        </w:rPr>
        <w:t xml:space="preserve">odiatrists </w:t>
      </w:r>
      <w:r>
        <w:rPr>
          <w:lang w:val="en-AU"/>
        </w:rPr>
        <w:t xml:space="preserve">are at fault they </w:t>
      </w:r>
      <w:r w:rsidR="00DA50C4">
        <w:rPr>
          <w:lang w:val="en-AU"/>
        </w:rPr>
        <w:t>need amnesty from retrospective action by Medicare</w:t>
      </w:r>
    </w:p>
    <w:p w14:paraId="6A57CA40" w14:textId="59D26EE4" w:rsidR="00D31214" w:rsidRDefault="006138C5" w:rsidP="00DF42F3">
      <w:pPr>
        <w:spacing w:after="120" w:line="240" w:lineRule="auto"/>
        <w:rPr>
          <w:lang w:val="en-AU"/>
        </w:rPr>
      </w:pPr>
      <w:r>
        <w:rPr>
          <w:lang w:val="en-AU"/>
        </w:rPr>
        <w:t xml:space="preserve">RACF staff refer eligible residents to GP for CDM. GP assesses eligibility and refers to podiatrist. If the </w:t>
      </w:r>
      <w:proofErr w:type="spellStart"/>
      <w:r>
        <w:rPr>
          <w:lang w:val="en-AU"/>
        </w:rPr>
        <w:t>highcare</w:t>
      </w:r>
      <w:proofErr w:type="spellEnd"/>
      <w:r>
        <w:rPr>
          <w:lang w:val="en-AU"/>
        </w:rPr>
        <w:t xml:space="preserve"> resident is treated by the podiatrist shouldn’t the RACF firstly and then the GP be held liable before the </w:t>
      </w:r>
      <w:proofErr w:type="gramStart"/>
      <w:r>
        <w:rPr>
          <w:lang w:val="en-AU"/>
        </w:rPr>
        <w:t>podiatrist ?</w:t>
      </w:r>
      <w:proofErr w:type="gramEnd"/>
    </w:p>
    <w:p w14:paraId="4CC0FF2B" w14:textId="4252243D" w:rsidR="00DA50C4" w:rsidRDefault="00C239A7" w:rsidP="00DF42F3">
      <w:pPr>
        <w:spacing w:after="120" w:line="240" w:lineRule="auto"/>
        <w:rPr>
          <w:lang w:val="en-AU"/>
        </w:rPr>
      </w:pPr>
      <w:r>
        <w:rPr>
          <w:lang w:val="en-AU"/>
        </w:rPr>
        <w:t xml:space="preserve">Requirement for a date from which compliance </w:t>
      </w:r>
      <w:r w:rsidR="00B80207">
        <w:rPr>
          <w:lang w:val="en-AU"/>
        </w:rPr>
        <w:t>enforced</w:t>
      </w:r>
      <w:r w:rsidR="00EB3F06">
        <w:rPr>
          <w:lang w:val="en-AU"/>
        </w:rPr>
        <w:t>, amnesty prior to that date, penalties after that date</w:t>
      </w:r>
    </w:p>
    <w:p w14:paraId="6F5B685D" w14:textId="77777777" w:rsidR="00A749DA" w:rsidRDefault="00A749DA" w:rsidP="00A749DA">
      <w:pPr>
        <w:spacing w:after="120" w:line="240" w:lineRule="auto"/>
        <w:rPr>
          <w:lang w:val="en-AU"/>
        </w:rPr>
      </w:pPr>
      <w:r>
        <w:rPr>
          <w:lang w:val="en-AU"/>
        </w:rPr>
        <w:t>Item number 10962 in WA in 2016/17 was billed 245,000 times; 3 million across Australia</w:t>
      </w:r>
    </w:p>
    <w:p w14:paraId="5079E538" w14:textId="77777777" w:rsidR="00A749DA" w:rsidRDefault="00A749DA" w:rsidP="00DF42F3">
      <w:pPr>
        <w:spacing w:after="120" w:line="240" w:lineRule="auto"/>
        <w:rPr>
          <w:lang w:val="en-AU"/>
        </w:rPr>
      </w:pPr>
    </w:p>
    <w:p w14:paraId="1C1BE78A" w14:textId="77777777" w:rsidR="00DF42F3" w:rsidRDefault="00DF42F3" w:rsidP="00DF42F3">
      <w:pPr>
        <w:spacing w:after="120" w:line="240" w:lineRule="auto"/>
        <w:rPr>
          <w:sz w:val="28"/>
          <w:szCs w:val="28"/>
          <w:lang w:val="en-AU"/>
        </w:rPr>
      </w:pPr>
    </w:p>
    <w:p w14:paraId="4793E1A2" w14:textId="02E29825" w:rsidR="00B80207" w:rsidRDefault="00B80207" w:rsidP="00DF42F3">
      <w:pPr>
        <w:spacing w:after="120" w:line="240" w:lineRule="auto"/>
        <w:rPr>
          <w:lang w:val="en-AU"/>
        </w:rPr>
      </w:pPr>
      <w:r w:rsidRPr="00B80207">
        <w:rPr>
          <w:sz w:val="28"/>
          <w:szCs w:val="28"/>
          <w:lang w:val="en-AU"/>
        </w:rPr>
        <w:t>EDUCATION</w:t>
      </w:r>
      <w:r>
        <w:rPr>
          <w:lang w:val="en-AU"/>
        </w:rPr>
        <w:br/>
        <w:t>Needed from Medicare and the Dept of Health (federal government) for podiatrists, consumers and RACFs</w:t>
      </w:r>
      <w:r w:rsidR="00A749DA">
        <w:rPr>
          <w:lang w:val="en-AU"/>
        </w:rPr>
        <w:t>’ Requests to date have been unsuccessful</w:t>
      </w:r>
    </w:p>
    <w:p w14:paraId="75E49F2D" w14:textId="79C04E93" w:rsidR="00B80207" w:rsidRDefault="00B80207" w:rsidP="00DF42F3">
      <w:pPr>
        <w:spacing w:after="120" w:line="240" w:lineRule="auto"/>
        <w:rPr>
          <w:lang w:val="en-AU"/>
        </w:rPr>
      </w:pPr>
      <w:r>
        <w:rPr>
          <w:lang w:val="en-AU"/>
        </w:rPr>
        <w:t>Podiatrists need to be able to easily identify residents ACFI level IF podiatrists also have the responsibility of billing correctly</w:t>
      </w:r>
      <w:r w:rsidR="00DF42F3">
        <w:rPr>
          <w:lang w:val="en-AU"/>
        </w:rPr>
        <w:t xml:space="preserve">. Pods can then decline to treat those </w:t>
      </w:r>
      <w:proofErr w:type="spellStart"/>
      <w:r w:rsidR="00DF42F3">
        <w:rPr>
          <w:lang w:val="en-AU"/>
        </w:rPr>
        <w:t>highcare</w:t>
      </w:r>
      <w:proofErr w:type="spellEnd"/>
      <w:r w:rsidR="00DF42F3">
        <w:rPr>
          <w:lang w:val="en-AU"/>
        </w:rPr>
        <w:t xml:space="preserve"> residents under Medicare</w:t>
      </w:r>
      <w:r w:rsidR="006837E3">
        <w:rPr>
          <w:lang w:val="en-AU"/>
        </w:rPr>
        <w:t>. (Q: Does DVA have a system for easy identification already?)</w:t>
      </w:r>
    </w:p>
    <w:p w14:paraId="7179732F" w14:textId="77777777" w:rsidR="00DF42F3" w:rsidRDefault="00DF42F3" w:rsidP="00DF42F3">
      <w:pPr>
        <w:spacing w:after="120" w:line="240" w:lineRule="auto"/>
        <w:rPr>
          <w:sz w:val="28"/>
          <w:szCs w:val="28"/>
          <w:lang w:val="en-AU"/>
        </w:rPr>
      </w:pPr>
    </w:p>
    <w:p w14:paraId="147BF5D0" w14:textId="758E5C57" w:rsidR="009859E6" w:rsidRDefault="009859E6" w:rsidP="00DF42F3">
      <w:pPr>
        <w:spacing w:after="120" w:line="240" w:lineRule="auto"/>
        <w:rPr>
          <w:sz w:val="28"/>
          <w:szCs w:val="28"/>
          <w:lang w:val="en-AU"/>
        </w:rPr>
      </w:pPr>
      <w:r>
        <w:rPr>
          <w:sz w:val="28"/>
          <w:szCs w:val="28"/>
          <w:lang w:val="en-AU"/>
        </w:rPr>
        <w:t>ACTION</w:t>
      </w:r>
    </w:p>
    <w:p w14:paraId="0DE8B8CC" w14:textId="77777777" w:rsidR="009859E6" w:rsidRDefault="009859E6" w:rsidP="00DF42F3">
      <w:pPr>
        <w:spacing w:after="120" w:line="240" w:lineRule="auto"/>
        <w:rPr>
          <w:sz w:val="28"/>
          <w:szCs w:val="28"/>
          <w:lang w:val="en-AU"/>
        </w:rPr>
      </w:pPr>
      <w:r>
        <w:rPr>
          <w:sz w:val="28"/>
          <w:szCs w:val="28"/>
          <w:lang w:val="en-AU"/>
        </w:rPr>
        <w:t>Lobby</w:t>
      </w:r>
    </w:p>
    <w:p w14:paraId="58F2C5A2" w14:textId="2FB07562" w:rsidR="009859E6" w:rsidRPr="00D2778E" w:rsidRDefault="009859E6" w:rsidP="00DF42F3">
      <w:pPr>
        <w:spacing w:after="120" w:line="240" w:lineRule="auto"/>
        <w:rPr>
          <w:lang w:val="en-AU"/>
        </w:rPr>
      </w:pPr>
      <w:r w:rsidRPr="00D2778E">
        <w:rPr>
          <w:lang w:val="en-AU"/>
        </w:rPr>
        <w:t>Federal Minister for Health</w:t>
      </w:r>
      <w:r w:rsidRPr="00D2778E">
        <w:rPr>
          <w:lang w:val="en-AU"/>
        </w:rPr>
        <w:tab/>
      </w:r>
      <w:r w:rsidRPr="00D2778E">
        <w:rPr>
          <w:lang w:val="en-AU"/>
        </w:rPr>
        <w:tab/>
        <w:t>Greg Hunt</w:t>
      </w:r>
    </w:p>
    <w:p w14:paraId="24B7AD97" w14:textId="0A7BC418" w:rsidR="009859E6" w:rsidRPr="00D2778E" w:rsidRDefault="009859E6" w:rsidP="00DF42F3">
      <w:pPr>
        <w:spacing w:after="120" w:line="240" w:lineRule="auto"/>
        <w:rPr>
          <w:lang w:val="en-AU"/>
        </w:rPr>
      </w:pPr>
      <w:r w:rsidRPr="00D2778E">
        <w:rPr>
          <w:lang w:val="en-AU"/>
        </w:rPr>
        <w:t>Federal Minister for Aged Care</w:t>
      </w:r>
      <w:r w:rsidRPr="00D2778E">
        <w:rPr>
          <w:lang w:val="en-AU"/>
        </w:rPr>
        <w:tab/>
      </w:r>
      <w:r w:rsidRPr="00D2778E">
        <w:rPr>
          <w:lang w:val="en-AU"/>
        </w:rPr>
        <w:tab/>
        <w:t>Ken Wyatt</w:t>
      </w:r>
    </w:p>
    <w:p w14:paraId="491E74CE" w14:textId="16DFB07D" w:rsidR="009859E6" w:rsidRDefault="00D2778E" w:rsidP="00DF42F3">
      <w:pPr>
        <w:spacing w:after="120" w:line="240" w:lineRule="auto"/>
        <w:rPr>
          <w:lang w:val="en-AU"/>
        </w:rPr>
      </w:pPr>
      <w:r w:rsidRPr="00D2778E">
        <w:rPr>
          <w:lang w:val="en-AU"/>
        </w:rPr>
        <w:t xml:space="preserve">Contacts for Joe Bullock, </w:t>
      </w:r>
      <w:proofErr w:type="spellStart"/>
      <w:r w:rsidRPr="00D2778E">
        <w:rPr>
          <w:lang w:val="en-AU"/>
        </w:rPr>
        <w:t>Tjorn</w:t>
      </w:r>
      <w:proofErr w:type="spellEnd"/>
      <w:r w:rsidRPr="00D2778E">
        <w:rPr>
          <w:lang w:val="en-AU"/>
        </w:rPr>
        <w:t xml:space="preserve"> </w:t>
      </w:r>
      <w:proofErr w:type="spellStart"/>
      <w:r w:rsidRPr="00D2778E">
        <w:rPr>
          <w:lang w:val="en-AU"/>
        </w:rPr>
        <w:t>Sibma</w:t>
      </w:r>
      <w:proofErr w:type="spellEnd"/>
      <w:r>
        <w:rPr>
          <w:lang w:val="en-AU"/>
        </w:rPr>
        <w:t>, Steve Irons</w:t>
      </w:r>
    </w:p>
    <w:p w14:paraId="1E82796A" w14:textId="0E8D98FD" w:rsidR="00DF42F3" w:rsidRDefault="00DF42F3" w:rsidP="00DF42F3">
      <w:pPr>
        <w:spacing w:after="120" w:line="240" w:lineRule="auto"/>
        <w:rPr>
          <w:lang w:val="en-AU"/>
        </w:rPr>
      </w:pPr>
      <w:r>
        <w:rPr>
          <w:lang w:val="en-AU"/>
        </w:rPr>
        <w:t>Legal opinion: director Rebecca Taseff (K&amp;L Gates)</w:t>
      </w:r>
    </w:p>
    <w:p w14:paraId="6932D60F" w14:textId="0886869B" w:rsidR="00DF42F3" w:rsidRDefault="00DF42F3" w:rsidP="00DF42F3">
      <w:pPr>
        <w:spacing w:after="120" w:line="240" w:lineRule="auto"/>
        <w:rPr>
          <w:lang w:val="en-AU"/>
        </w:rPr>
      </w:pPr>
      <w:r>
        <w:rPr>
          <w:lang w:val="en-AU"/>
        </w:rPr>
        <w:lastRenderedPageBreak/>
        <w:t>AMA – are GPs in a similar position (Schofield article)</w:t>
      </w:r>
    </w:p>
    <w:p w14:paraId="4786301E" w14:textId="77777777" w:rsidR="001E3BAA" w:rsidRDefault="001E3BAA" w:rsidP="001E3BAA">
      <w:pPr>
        <w:spacing w:after="120" w:line="240" w:lineRule="auto"/>
        <w:rPr>
          <w:lang w:val="en-AU"/>
        </w:rPr>
      </w:pPr>
      <w:r>
        <w:rPr>
          <w:lang w:val="en-AU"/>
        </w:rPr>
        <w:t>Guild insurance</w:t>
      </w:r>
    </w:p>
    <w:p w14:paraId="2BE69245" w14:textId="77777777" w:rsidR="001E3BAA" w:rsidRPr="00D2778E" w:rsidRDefault="001E3BAA" w:rsidP="00DF42F3">
      <w:pPr>
        <w:spacing w:after="120" w:line="240" w:lineRule="auto"/>
        <w:rPr>
          <w:lang w:val="en-AU"/>
        </w:rPr>
      </w:pPr>
    </w:p>
    <w:p w14:paraId="790268F3" w14:textId="5B44BC65" w:rsidR="00B80207" w:rsidRPr="009859E6" w:rsidRDefault="00B80207" w:rsidP="00DF42F3">
      <w:pPr>
        <w:spacing w:after="120" w:line="240" w:lineRule="auto"/>
        <w:rPr>
          <w:sz w:val="28"/>
          <w:szCs w:val="28"/>
          <w:lang w:val="en-AU"/>
        </w:rPr>
      </w:pPr>
      <w:r w:rsidRPr="009859E6">
        <w:rPr>
          <w:sz w:val="28"/>
          <w:szCs w:val="28"/>
          <w:lang w:val="en-AU"/>
        </w:rPr>
        <w:t>RESEARCH</w:t>
      </w:r>
    </w:p>
    <w:p w14:paraId="582C5A7C" w14:textId="77777777" w:rsidR="0091304F" w:rsidRDefault="0091304F" w:rsidP="00DF42F3">
      <w:pPr>
        <w:spacing w:after="120" w:line="240" w:lineRule="auto"/>
        <w:rPr>
          <w:lang w:val="en-AU"/>
        </w:rPr>
      </w:pPr>
      <w:r>
        <w:rPr>
          <w:lang w:val="en-AU"/>
        </w:rPr>
        <w:t>Seek clarification from Medicare (so far unsuccessful)</w:t>
      </w:r>
    </w:p>
    <w:p w14:paraId="74F8C806" w14:textId="38982229" w:rsidR="00D2778E" w:rsidRDefault="00D2778E" w:rsidP="00DF42F3">
      <w:pPr>
        <w:spacing w:after="120" w:line="240" w:lineRule="auto"/>
        <w:rPr>
          <w:lang w:val="en-AU"/>
        </w:rPr>
      </w:pPr>
      <w:proofErr w:type="gramStart"/>
      <w:r>
        <w:rPr>
          <w:lang w:val="en-AU"/>
        </w:rPr>
        <w:t>Which takes precedence – The Aged Care Act or Medicare rules</w:t>
      </w:r>
      <w:proofErr w:type="gramEnd"/>
    </w:p>
    <w:p w14:paraId="74A7950D" w14:textId="059A65A1" w:rsidR="00D2778E" w:rsidRDefault="00A839CC" w:rsidP="00DF42F3">
      <w:pPr>
        <w:spacing w:after="120" w:line="240" w:lineRule="auto"/>
        <w:rPr>
          <w:lang w:val="en-AU"/>
        </w:rPr>
      </w:pPr>
      <w:r>
        <w:rPr>
          <w:lang w:val="en-AU"/>
        </w:rPr>
        <w:t xml:space="preserve">FOI – find out previous upheld complaints </w:t>
      </w:r>
      <w:r w:rsidR="00FD72D4">
        <w:rPr>
          <w:lang w:val="en-AU"/>
        </w:rPr>
        <w:t>an</w:t>
      </w:r>
      <w:r>
        <w:rPr>
          <w:lang w:val="en-AU"/>
        </w:rPr>
        <w:t>d fines by Medicare</w:t>
      </w:r>
    </w:p>
    <w:p w14:paraId="0F398BDC" w14:textId="67A1FD91" w:rsidR="00E14DB9" w:rsidRDefault="00E14DB9" w:rsidP="00DF42F3">
      <w:pPr>
        <w:spacing w:after="120" w:line="240" w:lineRule="auto"/>
        <w:rPr>
          <w:lang w:val="en-AU"/>
        </w:rPr>
      </w:pPr>
      <w:r>
        <w:rPr>
          <w:lang w:val="en-AU"/>
        </w:rPr>
        <w:t>Review and report on all Medicare education (online e</w:t>
      </w:r>
      <w:r w:rsidR="00291E3C">
        <w:rPr>
          <w:lang w:val="en-AU"/>
        </w:rPr>
        <w:t>-</w:t>
      </w:r>
      <w:r>
        <w:rPr>
          <w:lang w:val="en-AU"/>
        </w:rPr>
        <w:t>learning)</w:t>
      </w:r>
    </w:p>
    <w:p w14:paraId="4C899318" w14:textId="585D9208" w:rsidR="00291E3C" w:rsidRDefault="00291E3C" w:rsidP="00DF42F3">
      <w:pPr>
        <w:spacing w:after="120" w:line="240" w:lineRule="auto"/>
        <w:rPr>
          <w:lang w:val="en-AU"/>
        </w:rPr>
      </w:pPr>
      <w:r>
        <w:rPr>
          <w:lang w:val="en-AU"/>
        </w:rPr>
        <w:t>Australian Aged Care Quality Agency – they accredit RACFs</w:t>
      </w:r>
    </w:p>
    <w:p w14:paraId="18B817B9" w14:textId="72AC3891" w:rsidR="00B27DF9" w:rsidRDefault="00B27DF9" w:rsidP="00DF42F3">
      <w:pPr>
        <w:spacing w:after="120" w:line="240" w:lineRule="auto"/>
        <w:rPr>
          <w:lang w:val="en-AU"/>
        </w:rPr>
      </w:pPr>
      <w:r>
        <w:rPr>
          <w:lang w:val="en-AU"/>
        </w:rPr>
        <w:t xml:space="preserve">Podiatry WA </w:t>
      </w:r>
      <w:proofErr w:type="gramStart"/>
      <w:r>
        <w:rPr>
          <w:lang w:val="en-AU"/>
        </w:rPr>
        <w:t>need</w:t>
      </w:r>
      <w:proofErr w:type="gramEnd"/>
      <w:r>
        <w:rPr>
          <w:lang w:val="en-AU"/>
        </w:rPr>
        <w:t xml:space="preserve"> a clear power point presentation</w:t>
      </w:r>
      <w:r w:rsidR="0091304F">
        <w:rPr>
          <w:lang w:val="en-AU"/>
        </w:rPr>
        <w:t xml:space="preserve"> of this issue</w:t>
      </w:r>
      <w:r>
        <w:rPr>
          <w:lang w:val="en-AU"/>
        </w:rPr>
        <w:t xml:space="preserve"> to communicate to non-pods</w:t>
      </w:r>
    </w:p>
    <w:p w14:paraId="2F88CE68" w14:textId="5FBDEA77" w:rsidR="00FD08D4" w:rsidRDefault="00FD08D4" w:rsidP="00DF42F3">
      <w:pPr>
        <w:spacing w:after="120" w:line="240" w:lineRule="auto"/>
        <w:rPr>
          <w:sz w:val="28"/>
          <w:szCs w:val="28"/>
          <w:lang w:val="en-AU"/>
        </w:rPr>
      </w:pPr>
    </w:p>
    <w:p w14:paraId="13D8BA70" w14:textId="77777777" w:rsidR="00CC39C4" w:rsidRDefault="00CC39C4" w:rsidP="00DF42F3">
      <w:pPr>
        <w:spacing w:after="120" w:line="240" w:lineRule="auto"/>
        <w:rPr>
          <w:sz w:val="28"/>
          <w:szCs w:val="28"/>
          <w:lang w:val="en-AU"/>
        </w:rPr>
      </w:pPr>
    </w:p>
    <w:p w14:paraId="328CBDD2" w14:textId="2E633F7A" w:rsidR="00DF42F3" w:rsidRDefault="004019E2" w:rsidP="00DF42F3">
      <w:pPr>
        <w:spacing w:after="120" w:line="240" w:lineRule="auto"/>
        <w:rPr>
          <w:sz w:val="28"/>
          <w:szCs w:val="28"/>
          <w:lang w:val="en-AU"/>
        </w:rPr>
      </w:pPr>
      <w:r>
        <w:rPr>
          <w:sz w:val="28"/>
          <w:szCs w:val="28"/>
          <w:lang w:val="en-AU"/>
        </w:rPr>
        <w:t>DOCUMENTS</w:t>
      </w:r>
    </w:p>
    <w:p w14:paraId="576A66A6" w14:textId="77777777" w:rsidR="004019E2" w:rsidRDefault="004019E2" w:rsidP="004019E2">
      <w:pPr>
        <w:spacing w:after="120" w:line="240" w:lineRule="auto"/>
        <w:rPr>
          <w:lang w:val="en-AU"/>
        </w:rPr>
      </w:pPr>
      <w:r>
        <w:rPr>
          <w:lang w:val="en-AU"/>
        </w:rPr>
        <w:t>What documents and legislation govern this area – review and report</w:t>
      </w:r>
    </w:p>
    <w:p w14:paraId="0B3284C7" w14:textId="77777777" w:rsidR="001E3BAA" w:rsidRDefault="001E3BAA" w:rsidP="00DF42F3">
      <w:pPr>
        <w:spacing w:after="120" w:line="240" w:lineRule="auto"/>
        <w:rPr>
          <w:lang w:val="en-AU"/>
        </w:rPr>
      </w:pPr>
    </w:p>
    <w:p w14:paraId="63DF8CF2" w14:textId="72C0B501" w:rsidR="00106B0E" w:rsidRPr="00106B0E" w:rsidRDefault="00106B0E" w:rsidP="00106B0E">
      <w:pPr>
        <w:pBdr>
          <w:top w:val="single" w:sz="4" w:space="1" w:color="auto"/>
          <w:left w:val="single" w:sz="4" w:space="4" w:color="auto"/>
          <w:bottom w:val="single" w:sz="4" w:space="1" w:color="auto"/>
          <w:right w:val="single" w:sz="4" w:space="4" w:color="auto"/>
        </w:pBdr>
        <w:spacing w:after="120" w:line="240" w:lineRule="auto"/>
        <w:rPr>
          <w:b/>
          <w:lang w:val="en-AU"/>
        </w:rPr>
      </w:pPr>
      <w:r w:rsidRPr="00106B0E">
        <w:rPr>
          <w:b/>
          <w:lang w:val="en-AU"/>
        </w:rPr>
        <w:t>MEMBERS ARE REQUESTED TO READ THES 3 SHORT DOCS</w:t>
      </w:r>
    </w:p>
    <w:p w14:paraId="122F0033" w14:textId="77777777" w:rsidR="00106B0E" w:rsidRDefault="00106B0E" w:rsidP="00106B0E">
      <w:pPr>
        <w:pBdr>
          <w:top w:val="single" w:sz="4" w:space="1" w:color="auto"/>
          <w:left w:val="single" w:sz="4" w:space="4" w:color="auto"/>
          <w:bottom w:val="single" w:sz="4" w:space="1" w:color="auto"/>
          <w:right w:val="single" w:sz="4" w:space="4" w:color="auto"/>
        </w:pBdr>
        <w:spacing w:after="120" w:line="240" w:lineRule="auto"/>
        <w:rPr>
          <w:lang w:val="en-AU"/>
        </w:rPr>
      </w:pPr>
    </w:p>
    <w:p w14:paraId="65ADD00B" w14:textId="39BB8D12" w:rsidR="00FD08D4" w:rsidRDefault="00106B0E" w:rsidP="00106B0E">
      <w:pPr>
        <w:pBdr>
          <w:top w:val="single" w:sz="4" w:space="1" w:color="auto"/>
          <w:left w:val="single" w:sz="4" w:space="4" w:color="auto"/>
          <w:bottom w:val="single" w:sz="4" w:space="1" w:color="auto"/>
          <w:right w:val="single" w:sz="4" w:space="4" w:color="auto"/>
        </w:pBdr>
        <w:spacing w:after="120" w:line="240" w:lineRule="auto"/>
        <w:rPr>
          <w:lang w:val="en-AU"/>
        </w:rPr>
      </w:pPr>
      <w:r>
        <w:rPr>
          <w:lang w:val="en-AU"/>
        </w:rPr>
        <w:t xml:space="preserve">(3 </w:t>
      </w:r>
      <w:proofErr w:type="spellStart"/>
      <w:r>
        <w:rPr>
          <w:lang w:val="en-AU"/>
        </w:rPr>
        <w:t>pgs</w:t>
      </w:r>
      <w:proofErr w:type="spellEnd"/>
      <w:r>
        <w:rPr>
          <w:lang w:val="en-AU"/>
        </w:rPr>
        <w:t xml:space="preserve">) </w:t>
      </w:r>
      <w:r w:rsidR="00FD08D4" w:rsidRPr="00FD08D4">
        <w:rPr>
          <w:lang w:val="en-AU"/>
        </w:rPr>
        <w:t>C</w:t>
      </w:r>
      <w:r w:rsidR="001E3BAA">
        <w:rPr>
          <w:lang w:val="en-AU"/>
        </w:rPr>
        <w:t>HRONIC DISEASE MANAGEMENT</w:t>
      </w:r>
      <w:r w:rsidR="00FD08D4" w:rsidRPr="00FD08D4">
        <w:rPr>
          <w:lang w:val="en-AU"/>
        </w:rPr>
        <w:t xml:space="preserve"> – INDIVIDUAL ALLIED HEALTH </w:t>
      </w:r>
      <w:r w:rsidR="00FD08D4">
        <w:rPr>
          <w:lang w:val="en-AU"/>
        </w:rPr>
        <w:t xml:space="preserve">SERVICES PROVIDER INFORMATION </w:t>
      </w:r>
      <w:hyperlink r:id="rId6" w:history="1">
        <w:r w:rsidR="00FD08D4" w:rsidRPr="0012730F">
          <w:rPr>
            <w:rStyle w:val="Hyperlink"/>
            <w:lang w:val="en-AU"/>
          </w:rPr>
          <w:t>http://www.health.gov.au/internet/main/publishing.nsf/content/22F660E959ABF390CA257BF0001F3CF3/$File/Fact_Sheet_CDM_Individual_Allied_Health_Services_Provider_Info_Feb_14.pdf</w:t>
        </w:r>
      </w:hyperlink>
    </w:p>
    <w:p w14:paraId="274FBDCE" w14:textId="77777777" w:rsidR="001E3BAA" w:rsidRDefault="001E3BAA" w:rsidP="00106B0E">
      <w:pPr>
        <w:pBdr>
          <w:top w:val="single" w:sz="4" w:space="1" w:color="auto"/>
          <w:left w:val="single" w:sz="4" w:space="4" w:color="auto"/>
          <w:bottom w:val="single" w:sz="4" w:space="1" w:color="auto"/>
          <w:right w:val="single" w:sz="4" w:space="4" w:color="auto"/>
        </w:pBdr>
        <w:spacing w:after="120" w:line="240" w:lineRule="auto"/>
        <w:rPr>
          <w:lang w:val="en-AU"/>
        </w:rPr>
      </w:pPr>
    </w:p>
    <w:p w14:paraId="03FFC733" w14:textId="6B1FC4DA" w:rsidR="00FD08D4" w:rsidRDefault="00106B0E" w:rsidP="00106B0E">
      <w:pPr>
        <w:pBdr>
          <w:top w:val="single" w:sz="4" w:space="1" w:color="auto"/>
          <w:left w:val="single" w:sz="4" w:space="4" w:color="auto"/>
          <w:bottom w:val="single" w:sz="4" w:space="1" w:color="auto"/>
          <w:right w:val="single" w:sz="4" w:space="4" w:color="auto"/>
        </w:pBdr>
        <w:spacing w:after="120" w:line="240" w:lineRule="auto"/>
        <w:rPr>
          <w:lang w:val="en-AU"/>
        </w:rPr>
      </w:pPr>
      <w:bookmarkStart w:id="0" w:name="_Hlk508278292"/>
      <w:r>
        <w:rPr>
          <w:lang w:val="en-AU"/>
        </w:rPr>
        <w:t xml:space="preserve">(2 </w:t>
      </w:r>
      <w:proofErr w:type="spellStart"/>
      <w:r>
        <w:rPr>
          <w:lang w:val="en-AU"/>
        </w:rPr>
        <w:t>pgs</w:t>
      </w:r>
      <w:proofErr w:type="spellEnd"/>
      <w:r>
        <w:rPr>
          <w:lang w:val="en-AU"/>
        </w:rPr>
        <w:t xml:space="preserve">) </w:t>
      </w:r>
      <w:r w:rsidR="00B53E70" w:rsidRPr="00FD08D4">
        <w:rPr>
          <w:lang w:val="en-AU"/>
        </w:rPr>
        <w:t>C</w:t>
      </w:r>
      <w:r w:rsidR="00B53E70">
        <w:rPr>
          <w:lang w:val="en-AU"/>
        </w:rPr>
        <w:t>HRONIC DISEASE MANAGEMENT</w:t>
      </w:r>
      <w:r w:rsidR="00FD08D4">
        <w:rPr>
          <w:lang w:val="en-AU"/>
        </w:rPr>
        <w:t xml:space="preserve"> – INDIVIDUAL ALLIED HEALTH SERVICES RACF</w:t>
      </w:r>
    </w:p>
    <w:bookmarkStart w:id="1" w:name="_Hlk508279450"/>
    <w:bookmarkStart w:id="2" w:name="_GoBack"/>
    <w:p w14:paraId="2F8DA11C" w14:textId="57FB08AA" w:rsidR="00FD08D4" w:rsidRDefault="006E3DF3" w:rsidP="00106B0E">
      <w:pPr>
        <w:pBdr>
          <w:top w:val="single" w:sz="4" w:space="1" w:color="auto"/>
          <w:left w:val="single" w:sz="4" w:space="4" w:color="auto"/>
          <w:bottom w:val="single" w:sz="4" w:space="1" w:color="auto"/>
          <w:right w:val="single" w:sz="4" w:space="4" w:color="auto"/>
        </w:pBdr>
        <w:spacing w:after="120" w:line="240" w:lineRule="auto"/>
        <w:rPr>
          <w:lang w:val="en-AU"/>
        </w:rPr>
      </w:pPr>
      <w:r>
        <w:fldChar w:fldCharType="begin"/>
      </w:r>
      <w:r>
        <w:instrText xml:space="preserve"> HYPERLIN</w:instrText>
      </w:r>
      <w:r>
        <w:instrText xml:space="preserve">K "http://www.health.gov.au/internet/main/publishing.nsf/Content/E6A812DC61EBD3D2CA257BF0001CABF6/$File/Chronic%20Disease%20Management%20-%206%20June%202017.pdf" </w:instrText>
      </w:r>
      <w:r>
        <w:fldChar w:fldCharType="separate"/>
      </w:r>
      <w:r w:rsidR="00FD08D4" w:rsidRPr="0012730F">
        <w:rPr>
          <w:rStyle w:val="Hyperlink"/>
          <w:lang w:val="en-AU"/>
        </w:rPr>
        <w:t>http://www.health.gov.au/internet/main/publishing.nsf/Content/E6A812DC61EBD3D2CA257BF0001CABF6/$File/Chronic%20Disease%20Management%20-%206%20June%202017.pdf</w:t>
      </w:r>
      <w:r>
        <w:rPr>
          <w:rStyle w:val="Hyperlink"/>
          <w:lang w:val="en-AU"/>
        </w:rPr>
        <w:fldChar w:fldCharType="end"/>
      </w:r>
    </w:p>
    <w:bookmarkEnd w:id="0"/>
    <w:bookmarkEnd w:id="1"/>
    <w:bookmarkEnd w:id="2"/>
    <w:p w14:paraId="655065C8" w14:textId="77777777" w:rsidR="00B27DF9" w:rsidRDefault="00B27DF9" w:rsidP="00106B0E">
      <w:pPr>
        <w:pBdr>
          <w:top w:val="single" w:sz="4" w:space="1" w:color="auto"/>
          <w:left w:val="single" w:sz="4" w:space="4" w:color="auto"/>
          <w:bottom w:val="single" w:sz="4" w:space="1" w:color="auto"/>
          <w:right w:val="single" w:sz="4" w:space="4" w:color="auto"/>
        </w:pBdr>
        <w:spacing w:after="120" w:line="240" w:lineRule="auto"/>
        <w:rPr>
          <w:lang w:val="en-AU"/>
        </w:rPr>
      </w:pPr>
    </w:p>
    <w:p w14:paraId="4872D90D" w14:textId="012FC4E1" w:rsidR="00FD08D4" w:rsidRDefault="00106B0E" w:rsidP="00106B0E">
      <w:pPr>
        <w:pBdr>
          <w:top w:val="single" w:sz="4" w:space="1" w:color="auto"/>
          <w:left w:val="single" w:sz="4" w:space="4" w:color="auto"/>
          <w:bottom w:val="single" w:sz="4" w:space="1" w:color="auto"/>
          <w:right w:val="single" w:sz="4" w:space="4" w:color="auto"/>
        </w:pBdr>
        <w:spacing w:after="120" w:line="240" w:lineRule="auto"/>
        <w:rPr>
          <w:lang w:val="en-AU"/>
        </w:rPr>
      </w:pPr>
      <w:r>
        <w:rPr>
          <w:lang w:val="en-AU"/>
        </w:rPr>
        <w:t xml:space="preserve">(2 </w:t>
      </w:r>
      <w:proofErr w:type="spellStart"/>
      <w:r>
        <w:rPr>
          <w:lang w:val="en-AU"/>
        </w:rPr>
        <w:t>pgs</w:t>
      </w:r>
      <w:proofErr w:type="spellEnd"/>
      <w:r>
        <w:rPr>
          <w:lang w:val="en-AU"/>
        </w:rPr>
        <w:t>)</w:t>
      </w:r>
      <w:r w:rsidR="004E630B">
        <w:rPr>
          <w:lang w:val="en-AU"/>
        </w:rPr>
        <w:t xml:space="preserve">  </w:t>
      </w:r>
      <w:r w:rsidR="00B27DF9">
        <w:rPr>
          <w:lang w:val="en-AU"/>
        </w:rPr>
        <w:t>REMOVAL OF LOW CARE – HIGH CARE DISTINCTION IN PERMANENT RESIDENTIAL AGED CARE FROM 1 JULY 2014</w:t>
      </w:r>
    </w:p>
    <w:p w14:paraId="50D08EBA" w14:textId="35DABCBF" w:rsidR="00B27DF9" w:rsidRDefault="006E3DF3" w:rsidP="00106B0E">
      <w:pPr>
        <w:pBdr>
          <w:top w:val="single" w:sz="4" w:space="1" w:color="auto"/>
          <w:left w:val="single" w:sz="4" w:space="4" w:color="auto"/>
          <w:bottom w:val="single" w:sz="4" w:space="1" w:color="auto"/>
          <w:right w:val="single" w:sz="4" w:space="4" w:color="auto"/>
        </w:pBdr>
        <w:spacing w:after="120" w:line="240" w:lineRule="auto"/>
        <w:rPr>
          <w:lang w:val="en-AU"/>
        </w:rPr>
      </w:pPr>
      <w:hyperlink r:id="rId7" w:history="1">
        <w:r w:rsidR="00B27DF9" w:rsidRPr="0012730F">
          <w:rPr>
            <w:rStyle w:val="Hyperlink"/>
            <w:lang w:val="en-AU"/>
          </w:rPr>
          <w:t>https://agedcare.health.gov.au/sites/g/files/net1426/f/documents/07_2014/16_-removal-high-care.pdf</w:t>
        </w:r>
      </w:hyperlink>
    </w:p>
    <w:p w14:paraId="5E39F107" w14:textId="77777777" w:rsidR="00106B0E" w:rsidRDefault="00106B0E" w:rsidP="00106B0E">
      <w:pPr>
        <w:spacing w:after="120" w:line="240" w:lineRule="auto"/>
        <w:rPr>
          <w:rStyle w:val="Hyperlink"/>
          <w:lang w:val="en-AU"/>
        </w:rPr>
      </w:pPr>
      <w:r>
        <w:rPr>
          <w:lang w:val="en-AU"/>
        </w:rPr>
        <w:t>(</w:t>
      </w:r>
      <w:proofErr w:type="gramStart"/>
      <w:r>
        <w:rPr>
          <w:lang w:val="en-AU"/>
        </w:rPr>
        <w:t>lengthy</w:t>
      </w:r>
      <w:proofErr w:type="gramEnd"/>
      <w:r>
        <w:rPr>
          <w:lang w:val="en-AU"/>
        </w:rPr>
        <w:t xml:space="preserve">) </w:t>
      </w:r>
      <w:r w:rsidRPr="00FD08D4">
        <w:rPr>
          <w:lang w:val="en-AU"/>
        </w:rPr>
        <w:t xml:space="preserve">AGED CARE ACT </w:t>
      </w:r>
      <w:proofErr w:type="gramStart"/>
      <w:r w:rsidRPr="00FD08D4">
        <w:rPr>
          <w:lang w:val="en-AU"/>
        </w:rPr>
        <w:t xml:space="preserve">1997  </w:t>
      </w:r>
      <w:proofErr w:type="gramEnd"/>
      <w:r>
        <w:fldChar w:fldCharType="begin"/>
      </w:r>
      <w:r>
        <w:instrText xml:space="preserve"> HYPERLINK "https://www.legislation.gov.au/Details/C2017C00241" </w:instrText>
      </w:r>
      <w:r>
        <w:fldChar w:fldCharType="separate"/>
      </w:r>
      <w:r w:rsidRPr="00FD08D4">
        <w:rPr>
          <w:rStyle w:val="Hyperlink"/>
          <w:lang w:val="en-AU"/>
        </w:rPr>
        <w:t>https://www.legislation.gov.au/Details/C2017C00241</w:t>
      </w:r>
      <w:r>
        <w:rPr>
          <w:rStyle w:val="Hyperlink"/>
          <w:lang w:val="en-AU"/>
        </w:rPr>
        <w:fldChar w:fldCharType="end"/>
      </w:r>
    </w:p>
    <w:p w14:paraId="6FE09027" w14:textId="77777777" w:rsidR="00106B0E" w:rsidRDefault="00106B0E" w:rsidP="00106B0E">
      <w:pPr>
        <w:spacing w:after="120" w:line="240" w:lineRule="auto"/>
        <w:rPr>
          <w:lang w:val="en-AU"/>
        </w:rPr>
      </w:pPr>
    </w:p>
    <w:p w14:paraId="1507169D" w14:textId="77777777" w:rsidR="00106B0E" w:rsidRDefault="00106B0E" w:rsidP="00106B0E">
      <w:pPr>
        <w:spacing w:after="120" w:line="240" w:lineRule="auto"/>
        <w:rPr>
          <w:lang w:val="en-AU"/>
        </w:rPr>
      </w:pPr>
      <w:r>
        <w:rPr>
          <w:lang w:val="en-AU"/>
        </w:rPr>
        <w:t>(</w:t>
      </w:r>
      <w:proofErr w:type="gramStart"/>
      <w:r>
        <w:rPr>
          <w:lang w:val="en-AU"/>
        </w:rPr>
        <w:t>lengthy</w:t>
      </w:r>
      <w:proofErr w:type="gramEnd"/>
      <w:r>
        <w:rPr>
          <w:lang w:val="en-AU"/>
        </w:rPr>
        <w:t>) QUALITY OF CARE PRINCIPLES 2014 (Australian Aged Care Quality Agency) **</w:t>
      </w:r>
    </w:p>
    <w:p w14:paraId="4BFB54FC" w14:textId="77777777" w:rsidR="00106B0E" w:rsidRPr="00FD08D4" w:rsidRDefault="006E3DF3" w:rsidP="00106B0E">
      <w:pPr>
        <w:spacing w:after="120" w:line="240" w:lineRule="auto"/>
        <w:rPr>
          <w:lang w:val="en-AU"/>
        </w:rPr>
      </w:pPr>
      <w:hyperlink r:id="rId8" w:history="1">
        <w:r w:rsidR="00106B0E" w:rsidRPr="0012730F">
          <w:rPr>
            <w:rStyle w:val="Hyperlink"/>
            <w:lang w:val="en-AU"/>
          </w:rPr>
          <w:t>https://www.legislation.gov.au/Details/F2016C00451</w:t>
        </w:r>
      </w:hyperlink>
    </w:p>
    <w:p w14:paraId="427FD361" w14:textId="7C75210B" w:rsidR="00B27DF9" w:rsidRDefault="00B27DF9" w:rsidP="00DF42F3">
      <w:pPr>
        <w:spacing w:after="120" w:line="240" w:lineRule="auto"/>
        <w:rPr>
          <w:lang w:val="en-AU"/>
        </w:rPr>
      </w:pPr>
    </w:p>
    <w:p w14:paraId="0481C231" w14:textId="3B4B121A" w:rsidR="009859E6" w:rsidRDefault="009859E6" w:rsidP="00DF42F3">
      <w:pPr>
        <w:spacing w:after="120" w:line="240" w:lineRule="auto"/>
        <w:rPr>
          <w:lang w:val="en-AU"/>
        </w:rPr>
      </w:pPr>
      <w:r w:rsidRPr="009859E6">
        <w:rPr>
          <w:sz w:val="28"/>
          <w:szCs w:val="28"/>
          <w:lang w:val="en-AU"/>
        </w:rPr>
        <w:t>POSSIBLE OUTCOMES</w:t>
      </w:r>
      <w:r>
        <w:rPr>
          <w:lang w:val="en-AU"/>
        </w:rPr>
        <w:br/>
      </w:r>
      <w:r w:rsidR="00AC093A">
        <w:rPr>
          <w:lang w:val="en-AU"/>
        </w:rPr>
        <w:t>Cessation of</w:t>
      </w:r>
      <w:r>
        <w:rPr>
          <w:lang w:val="en-AU"/>
        </w:rPr>
        <w:t xml:space="preserve"> EPCS </w:t>
      </w:r>
      <w:r w:rsidR="00AC093A">
        <w:rPr>
          <w:lang w:val="en-AU"/>
        </w:rPr>
        <w:t>entirely in RACFS</w:t>
      </w:r>
    </w:p>
    <w:p w14:paraId="6B8D3DD2" w14:textId="73BCD522" w:rsidR="0091304F" w:rsidRDefault="0091304F" w:rsidP="00DF42F3">
      <w:pPr>
        <w:spacing w:after="120" w:line="240" w:lineRule="auto"/>
        <w:rPr>
          <w:lang w:val="en-AU"/>
        </w:rPr>
      </w:pPr>
      <w:r>
        <w:rPr>
          <w:lang w:val="en-AU"/>
        </w:rPr>
        <w:lastRenderedPageBreak/>
        <w:t>Tightening of criteria for eligibility, education to RACFs and providers (and large corporates)</w:t>
      </w:r>
    </w:p>
    <w:p w14:paraId="4C213BC5" w14:textId="1FECA9AD" w:rsidR="00B80207" w:rsidRDefault="009859E6" w:rsidP="00DF42F3">
      <w:pPr>
        <w:spacing w:after="120" w:line="240" w:lineRule="auto"/>
        <w:rPr>
          <w:lang w:val="en-AU"/>
        </w:rPr>
      </w:pPr>
      <w:r>
        <w:rPr>
          <w:lang w:val="en-AU"/>
        </w:rPr>
        <w:t>P</w:t>
      </w:r>
      <w:r w:rsidR="00AC093A">
        <w:rPr>
          <w:lang w:val="en-AU"/>
        </w:rPr>
        <w:t xml:space="preserve">osition Statement by Podiatry </w:t>
      </w:r>
      <w:proofErr w:type="gramStart"/>
      <w:r w:rsidR="00AC093A">
        <w:rPr>
          <w:lang w:val="en-AU"/>
        </w:rPr>
        <w:t>WA  “</w:t>
      </w:r>
      <w:proofErr w:type="gramEnd"/>
      <w:r w:rsidR="00AC093A">
        <w:rPr>
          <w:lang w:val="en-AU"/>
        </w:rPr>
        <w:t xml:space="preserve">that no Podiatry WA members will treat </w:t>
      </w:r>
      <w:proofErr w:type="spellStart"/>
      <w:r w:rsidR="00AC093A">
        <w:rPr>
          <w:lang w:val="en-AU"/>
        </w:rPr>
        <w:t>highcare</w:t>
      </w:r>
      <w:proofErr w:type="spellEnd"/>
      <w:r w:rsidR="00AC093A">
        <w:rPr>
          <w:lang w:val="en-AU"/>
        </w:rPr>
        <w:t xml:space="preserve"> residents in RACFs under EPCs</w:t>
      </w:r>
      <w:r w:rsidR="0091304F">
        <w:rPr>
          <w:lang w:val="en-AU"/>
        </w:rPr>
        <w:t>”</w:t>
      </w:r>
    </w:p>
    <w:p w14:paraId="3C87EF0B" w14:textId="486A7D98" w:rsidR="0091304F" w:rsidRDefault="0091304F" w:rsidP="0091304F">
      <w:pPr>
        <w:spacing w:after="120" w:line="240" w:lineRule="auto"/>
        <w:rPr>
          <w:lang w:val="en-AU"/>
        </w:rPr>
      </w:pPr>
      <w:r>
        <w:rPr>
          <w:lang w:val="en-AU"/>
        </w:rPr>
        <w:t xml:space="preserve">Position Statement by Podiatry </w:t>
      </w:r>
      <w:proofErr w:type="gramStart"/>
      <w:r>
        <w:rPr>
          <w:lang w:val="en-AU"/>
        </w:rPr>
        <w:t>WA  “</w:t>
      </w:r>
      <w:proofErr w:type="gramEnd"/>
      <w:r>
        <w:rPr>
          <w:lang w:val="en-AU"/>
        </w:rPr>
        <w:t>that no Podiatry WA members will use EPCs in RACFs”</w:t>
      </w:r>
    </w:p>
    <w:p w14:paraId="41313FC0" w14:textId="5289B81B" w:rsidR="00AC093A" w:rsidRDefault="00AC093A" w:rsidP="00DF42F3">
      <w:pPr>
        <w:spacing w:after="120" w:line="240" w:lineRule="auto"/>
        <w:rPr>
          <w:lang w:val="en-AU"/>
        </w:rPr>
      </w:pPr>
      <w:r>
        <w:rPr>
          <w:lang w:val="en-AU"/>
        </w:rPr>
        <w:t>Loss of employment by podiatrists due to Podiatry WA agitation</w:t>
      </w:r>
    </w:p>
    <w:p w14:paraId="08A8F9DE" w14:textId="77777777" w:rsidR="00354E92" w:rsidRDefault="00354E92" w:rsidP="00DF42F3">
      <w:pPr>
        <w:spacing w:after="120" w:line="240" w:lineRule="auto"/>
        <w:rPr>
          <w:lang w:val="en-AU"/>
        </w:rPr>
      </w:pPr>
    </w:p>
    <w:p w14:paraId="10DFCA9B" w14:textId="77777777" w:rsidR="00B27DF9" w:rsidRDefault="00B27DF9" w:rsidP="00B27DF9">
      <w:pPr>
        <w:spacing w:after="120" w:line="240" w:lineRule="auto"/>
        <w:rPr>
          <w:lang w:val="en-AU"/>
        </w:rPr>
      </w:pPr>
      <w:r w:rsidRPr="00B27DF9">
        <w:rPr>
          <w:sz w:val="28"/>
          <w:szCs w:val="28"/>
          <w:lang w:val="en-AU"/>
        </w:rPr>
        <w:t>ATTACHMENTS</w:t>
      </w:r>
      <w:r>
        <w:rPr>
          <w:lang w:val="en-AU"/>
        </w:rPr>
        <w:br/>
        <w:t xml:space="preserve">FOOTFILES ARTICLE December 2017 </w:t>
      </w:r>
    </w:p>
    <w:p w14:paraId="452A41AE" w14:textId="22955C44" w:rsidR="00DA50C4" w:rsidRDefault="00B27DF9" w:rsidP="00DF42F3">
      <w:pPr>
        <w:spacing w:after="120" w:line="240" w:lineRule="auto"/>
        <w:rPr>
          <w:lang w:val="en-AU"/>
        </w:rPr>
      </w:pPr>
      <w:r>
        <w:rPr>
          <w:lang w:val="en-AU"/>
        </w:rPr>
        <w:t>W&amp;L AGED CARE SERVICES BROCHURE</w:t>
      </w:r>
    </w:p>
    <w:p w14:paraId="570168C1" w14:textId="50E0ADDB" w:rsidR="006B736B" w:rsidRDefault="006B736B" w:rsidP="00DF42F3">
      <w:pPr>
        <w:spacing w:after="120" w:line="240" w:lineRule="auto"/>
        <w:rPr>
          <w:lang w:val="en-AU"/>
        </w:rPr>
      </w:pPr>
      <w:r>
        <w:rPr>
          <w:lang w:val="en-AU"/>
        </w:rPr>
        <w:t>DRAFT LETTER TO MINISTERS FROM CONCERNED PODIATRIST</w:t>
      </w:r>
    </w:p>
    <w:p w14:paraId="567A7F60" w14:textId="34757764" w:rsidR="00AC093A" w:rsidRDefault="00AC093A" w:rsidP="00DF42F3">
      <w:pPr>
        <w:spacing w:after="120" w:line="240" w:lineRule="auto"/>
        <w:rPr>
          <w:lang w:val="en-AU"/>
        </w:rPr>
      </w:pPr>
    </w:p>
    <w:p w14:paraId="1972184A" w14:textId="491A8402" w:rsidR="00AC093A" w:rsidRDefault="00AC093A" w:rsidP="00DF42F3">
      <w:pPr>
        <w:spacing w:after="120" w:line="240" w:lineRule="auto"/>
        <w:rPr>
          <w:lang w:val="en-AU"/>
        </w:rPr>
      </w:pPr>
    </w:p>
    <w:p w14:paraId="19471240" w14:textId="5693ECB4" w:rsidR="00AC093A" w:rsidRDefault="00AC093A" w:rsidP="00DF42F3">
      <w:pPr>
        <w:spacing w:after="120" w:line="240" w:lineRule="auto"/>
        <w:rPr>
          <w:lang w:val="en-AU"/>
        </w:rPr>
      </w:pPr>
    </w:p>
    <w:p w14:paraId="03EC8BDD" w14:textId="24BE41ED" w:rsidR="00AC093A" w:rsidRDefault="00AC093A" w:rsidP="00DF42F3">
      <w:pPr>
        <w:spacing w:after="120" w:line="240" w:lineRule="auto"/>
        <w:rPr>
          <w:lang w:val="en-AU"/>
        </w:rPr>
      </w:pPr>
    </w:p>
    <w:p w14:paraId="177F6E20" w14:textId="1842B4C0" w:rsidR="00AC093A" w:rsidRPr="00AC093A" w:rsidRDefault="00AC093A" w:rsidP="00AC093A">
      <w:pPr>
        <w:pStyle w:val="NormalWeb"/>
        <w:rPr>
          <w:rFonts w:ascii="Arial" w:hAnsi="Arial" w:cs="Arial"/>
          <w:b/>
          <w:bCs/>
          <w:color w:val="2F5496" w:themeColor="accent1" w:themeShade="BF"/>
          <w:sz w:val="22"/>
          <w:szCs w:val="22"/>
        </w:rPr>
      </w:pPr>
      <w:r w:rsidRPr="00AC093A">
        <w:rPr>
          <w:color w:val="2F5496" w:themeColor="accent1" w:themeShade="BF"/>
          <w:sz w:val="22"/>
          <w:szCs w:val="22"/>
        </w:rPr>
        <w:t>*</w:t>
      </w:r>
      <w:r w:rsidR="0091304F">
        <w:rPr>
          <w:color w:val="2F5496" w:themeColor="accent1" w:themeShade="BF"/>
          <w:sz w:val="22"/>
          <w:szCs w:val="22"/>
        </w:rPr>
        <w:t>*</w:t>
      </w:r>
      <w:r w:rsidRPr="00AC093A">
        <w:rPr>
          <w:color w:val="2F5496" w:themeColor="accent1" w:themeShade="BF"/>
          <w:sz w:val="22"/>
          <w:szCs w:val="22"/>
        </w:rPr>
        <w:t xml:space="preserve">Thank you for your enquiry. As the role of the Aged Care Quality Agency does not specifically cover funding for care recipients, I am unable to provide you with a definitive response to your query. </w:t>
      </w:r>
    </w:p>
    <w:p w14:paraId="26B68803" w14:textId="77777777" w:rsidR="00AC093A" w:rsidRPr="00AC093A" w:rsidRDefault="00AC093A" w:rsidP="00AC093A">
      <w:pPr>
        <w:rPr>
          <w:i/>
          <w:iCs/>
          <w:color w:val="2F5496" w:themeColor="accent1" w:themeShade="BF"/>
        </w:rPr>
      </w:pPr>
      <w:r w:rsidRPr="00AC093A">
        <w:rPr>
          <w:color w:val="2F5496" w:themeColor="accent1" w:themeShade="BF"/>
        </w:rPr>
        <w:t xml:space="preserve">However, the care and service to be provided for all care recipients who need them – fees may </w:t>
      </w:r>
      <w:proofErr w:type="gramStart"/>
      <w:r w:rsidRPr="00AC093A">
        <w:rPr>
          <w:color w:val="2F5496" w:themeColor="accent1" w:themeShade="BF"/>
        </w:rPr>
        <w:t>apply  are</w:t>
      </w:r>
      <w:proofErr w:type="gramEnd"/>
      <w:r w:rsidRPr="00AC093A">
        <w:rPr>
          <w:color w:val="2F5496" w:themeColor="accent1" w:themeShade="BF"/>
        </w:rPr>
        <w:t xml:space="preserve"> specified in the </w:t>
      </w:r>
      <w:r w:rsidRPr="00AC093A">
        <w:rPr>
          <w:i/>
          <w:iCs/>
          <w:color w:val="2F5496" w:themeColor="accent1" w:themeShade="BF"/>
        </w:rPr>
        <w:t>Quality of Care Principles 2014.</w:t>
      </w:r>
    </w:p>
    <w:p w14:paraId="438C8F9D" w14:textId="77777777" w:rsidR="00AC093A" w:rsidRPr="00AC093A" w:rsidRDefault="006E3DF3" w:rsidP="00AC093A">
      <w:pPr>
        <w:rPr>
          <w:color w:val="2F5496" w:themeColor="accent1" w:themeShade="BF"/>
        </w:rPr>
      </w:pPr>
      <w:hyperlink r:id="rId9" w:history="1">
        <w:r w:rsidR="00AC093A" w:rsidRPr="00AC093A">
          <w:rPr>
            <w:rStyle w:val="Hyperlink"/>
            <w:color w:val="2F5496" w:themeColor="accent1" w:themeShade="BF"/>
          </w:rPr>
          <w:t>https://www.legislation.gov.au/Details/F2016C00451</w:t>
        </w:r>
      </w:hyperlink>
    </w:p>
    <w:p w14:paraId="5F7A5430" w14:textId="77777777" w:rsidR="00AC093A" w:rsidRPr="00AC093A" w:rsidRDefault="00AC093A" w:rsidP="00AC093A">
      <w:pPr>
        <w:rPr>
          <w:color w:val="2F5496" w:themeColor="accent1" w:themeShade="BF"/>
        </w:rPr>
      </w:pPr>
      <w:r w:rsidRPr="00AC093A">
        <w:rPr>
          <w:color w:val="2F5496" w:themeColor="accent1" w:themeShade="BF"/>
        </w:rPr>
        <w:t xml:space="preserve">Please refer to Schedule 1—Care and services for residential care services, </w:t>
      </w:r>
      <w:bookmarkStart w:id="3" w:name="_MailEndCompose"/>
      <w:r w:rsidRPr="00AC093A">
        <w:rPr>
          <w:color w:val="2F5496" w:themeColor="accent1" w:themeShade="BF"/>
        </w:rPr>
        <w:t xml:space="preserve">Part 3—Care and services—to be provided for all care recipients </w:t>
      </w:r>
      <w:r w:rsidRPr="00AC093A">
        <w:rPr>
          <w:b/>
          <w:bCs/>
          <w:color w:val="2F5496" w:themeColor="accent1" w:themeShade="BF"/>
        </w:rPr>
        <w:t>who need them</w:t>
      </w:r>
      <w:r w:rsidRPr="00AC093A">
        <w:rPr>
          <w:color w:val="2F5496" w:themeColor="accent1" w:themeShade="BF"/>
        </w:rPr>
        <w:t>—fees may apply; Item 3.11</w:t>
      </w:r>
      <w:bookmarkEnd w:id="3"/>
    </w:p>
    <w:p w14:paraId="62DCE83E" w14:textId="77777777" w:rsidR="00AC093A" w:rsidRPr="00AC093A" w:rsidRDefault="00AC093A" w:rsidP="00AC093A">
      <w:pPr>
        <w:rPr>
          <w:color w:val="2F5496" w:themeColor="accent1" w:themeShade="BF"/>
        </w:rPr>
      </w:pPr>
      <w:r w:rsidRPr="00AC093A">
        <w:rPr>
          <w:color w:val="2F5496" w:themeColor="accent1" w:themeShade="BF"/>
        </w:rPr>
        <w:t>Also please note under Part 3: A care recipient to whom subsection 7(6) applies must not be charged an additional fee for the provision of care or services specified in the following table (see subsection 7(5)). Refer to Part 2—Residential care services; Division 1—Responsibilities of approved providers; 7</w:t>
      </w:r>
      <w:proofErr w:type="gramStart"/>
      <w:r w:rsidRPr="00AC093A">
        <w:rPr>
          <w:color w:val="2F5496" w:themeColor="accent1" w:themeShade="BF"/>
        </w:rPr>
        <w:t>  Care</w:t>
      </w:r>
      <w:proofErr w:type="gramEnd"/>
      <w:r w:rsidRPr="00AC093A">
        <w:rPr>
          <w:color w:val="2F5496" w:themeColor="accent1" w:themeShade="BF"/>
        </w:rPr>
        <w:t xml:space="preserve"> and services that must be provided; 7 (6)</w:t>
      </w:r>
    </w:p>
    <w:p w14:paraId="0F4B4301" w14:textId="77777777" w:rsidR="00AC093A" w:rsidRPr="00AC093A" w:rsidRDefault="00AC093A" w:rsidP="00AC093A">
      <w:pPr>
        <w:rPr>
          <w:color w:val="2F5496" w:themeColor="accent1" w:themeShade="BF"/>
        </w:rPr>
      </w:pPr>
      <w:r w:rsidRPr="00AC093A">
        <w:rPr>
          <w:color w:val="2F5496" w:themeColor="accent1" w:themeShade="BF"/>
        </w:rPr>
        <w:t xml:space="preserve">NB: </w:t>
      </w:r>
    </w:p>
    <w:p w14:paraId="55564179" w14:textId="77777777" w:rsidR="00AC093A" w:rsidRPr="00AC093A" w:rsidRDefault="00AC093A" w:rsidP="00AC093A">
      <w:pPr>
        <w:rPr>
          <w:color w:val="2F5496" w:themeColor="accent1" w:themeShade="BF"/>
        </w:rPr>
      </w:pPr>
      <w:r w:rsidRPr="00AC093A">
        <w:rPr>
          <w:b/>
          <w:bCs/>
          <w:color w:val="2F5496" w:themeColor="accent1" w:themeShade="BF"/>
        </w:rPr>
        <w:t>Who need them</w:t>
      </w:r>
      <w:r w:rsidRPr="00AC093A">
        <w:rPr>
          <w:color w:val="2F5496" w:themeColor="accent1" w:themeShade="BF"/>
        </w:rPr>
        <w:t xml:space="preserve"> – meaning with and assessed need</w:t>
      </w:r>
    </w:p>
    <w:p w14:paraId="691A9D11" w14:textId="77777777" w:rsidR="00AC093A" w:rsidRPr="00AC093A" w:rsidRDefault="00AC093A" w:rsidP="00AC093A">
      <w:pPr>
        <w:rPr>
          <w:color w:val="2F5496" w:themeColor="accent1" w:themeShade="BF"/>
        </w:rPr>
      </w:pPr>
      <w:r w:rsidRPr="00AC093A">
        <w:rPr>
          <w:color w:val="2F5496" w:themeColor="accent1" w:themeShade="BF"/>
        </w:rPr>
        <w:t>Item 3.11 Therapy services  such as podiatry refers to maintenance therapy and more intensive therapy on a temporary basis to allow CRs to reach a level of independence at which maintenance therapy will meet their needs; excludes intensive, long-term rehabilitation services.</w:t>
      </w:r>
    </w:p>
    <w:p w14:paraId="31F3F41F" w14:textId="71803C65" w:rsidR="00AC093A" w:rsidRPr="00AC093A" w:rsidRDefault="00AC093A" w:rsidP="00AC093A">
      <w:pPr>
        <w:spacing w:after="120" w:line="240" w:lineRule="auto"/>
        <w:rPr>
          <w:lang w:val="en-AU"/>
        </w:rPr>
      </w:pPr>
    </w:p>
    <w:sectPr w:rsidR="00AC093A" w:rsidRPr="00AC093A" w:rsidSect="00C02B3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F12"/>
    <w:multiLevelType w:val="hybridMultilevel"/>
    <w:tmpl w:val="CAA2592A"/>
    <w:lvl w:ilvl="0" w:tplc="078CFD0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D710413"/>
    <w:multiLevelType w:val="hybridMultilevel"/>
    <w:tmpl w:val="3AFA12FC"/>
    <w:lvl w:ilvl="0" w:tplc="4C8AB9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4"/>
    <w:rsid w:val="000D3295"/>
    <w:rsid w:val="00106B0E"/>
    <w:rsid w:val="001E3BAA"/>
    <w:rsid w:val="00281382"/>
    <w:rsid w:val="00291E3C"/>
    <w:rsid w:val="00354E92"/>
    <w:rsid w:val="004019E2"/>
    <w:rsid w:val="004A65BA"/>
    <w:rsid w:val="004E630B"/>
    <w:rsid w:val="006138C5"/>
    <w:rsid w:val="006837E3"/>
    <w:rsid w:val="006B736B"/>
    <w:rsid w:val="006E3DF3"/>
    <w:rsid w:val="0091304F"/>
    <w:rsid w:val="009859E6"/>
    <w:rsid w:val="00A749DA"/>
    <w:rsid w:val="00A839CC"/>
    <w:rsid w:val="00AC093A"/>
    <w:rsid w:val="00B27DF9"/>
    <w:rsid w:val="00B53E70"/>
    <w:rsid w:val="00B80207"/>
    <w:rsid w:val="00B86751"/>
    <w:rsid w:val="00C02B39"/>
    <w:rsid w:val="00C239A7"/>
    <w:rsid w:val="00CC39C4"/>
    <w:rsid w:val="00D2778E"/>
    <w:rsid w:val="00D31214"/>
    <w:rsid w:val="00DA50C4"/>
    <w:rsid w:val="00DC6CB0"/>
    <w:rsid w:val="00DF42F3"/>
    <w:rsid w:val="00E14DB9"/>
    <w:rsid w:val="00EB3F06"/>
    <w:rsid w:val="00FD08D4"/>
    <w:rsid w:val="00FD7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4"/>
    <w:rPr>
      <w:color w:val="0563C1" w:themeColor="hyperlink"/>
      <w:u w:val="single"/>
    </w:rPr>
  </w:style>
  <w:style w:type="character" w:customStyle="1" w:styleId="UnresolvedMention">
    <w:name w:val="Unresolved Mention"/>
    <w:basedOn w:val="DefaultParagraphFont"/>
    <w:uiPriority w:val="99"/>
    <w:semiHidden/>
    <w:unhideWhenUsed/>
    <w:rsid w:val="00FD08D4"/>
    <w:rPr>
      <w:color w:val="808080"/>
      <w:shd w:val="clear" w:color="auto" w:fill="E6E6E6"/>
    </w:rPr>
  </w:style>
  <w:style w:type="paragraph" w:styleId="ListParagraph">
    <w:name w:val="List Paragraph"/>
    <w:basedOn w:val="Normal"/>
    <w:uiPriority w:val="34"/>
    <w:qFormat/>
    <w:rsid w:val="00AC093A"/>
    <w:pPr>
      <w:ind w:left="720"/>
      <w:contextualSpacing/>
    </w:pPr>
  </w:style>
  <w:style w:type="paragraph" w:styleId="NormalWeb">
    <w:name w:val="Normal (Web)"/>
    <w:basedOn w:val="Normal"/>
    <w:uiPriority w:val="99"/>
    <w:unhideWhenUsed/>
    <w:rsid w:val="00AC093A"/>
    <w:pPr>
      <w:spacing w:before="100" w:beforeAutospacing="1" w:after="100" w:afterAutospacing="1" w:line="240" w:lineRule="auto"/>
    </w:pPr>
    <w:rPr>
      <w:rFonts w:ascii="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B8675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D4"/>
    <w:rPr>
      <w:color w:val="0563C1" w:themeColor="hyperlink"/>
      <w:u w:val="single"/>
    </w:rPr>
  </w:style>
  <w:style w:type="character" w:customStyle="1" w:styleId="UnresolvedMention">
    <w:name w:val="Unresolved Mention"/>
    <w:basedOn w:val="DefaultParagraphFont"/>
    <w:uiPriority w:val="99"/>
    <w:semiHidden/>
    <w:unhideWhenUsed/>
    <w:rsid w:val="00FD08D4"/>
    <w:rPr>
      <w:color w:val="808080"/>
      <w:shd w:val="clear" w:color="auto" w:fill="E6E6E6"/>
    </w:rPr>
  </w:style>
  <w:style w:type="paragraph" w:styleId="ListParagraph">
    <w:name w:val="List Paragraph"/>
    <w:basedOn w:val="Normal"/>
    <w:uiPriority w:val="34"/>
    <w:qFormat/>
    <w:rsid w:val="00AC093A"/>
    <w:pPr>
      <w:ind w:left="720"/>
      <w:contextualSpacing/>
    </w:pPr>
  </w:style>
  <w:style w:type="paragraph" w:styleId="NormalWeb">
    <w:name w:val="Normal (Web)"/>
    <w:basedOn w:val="Normal"/>
    <w:uiPriority w:val="99"/>
    <w:unhideWhenUsed/>
    <w:rsid w:val="00AC093A"/>
    <w:pPr>
      <w:spacing w:before="100" w:beforeAutospacing="1" w:after="100" w:afterAutospacing="1" w:line="240" w:lineRule="auto"/>
    </w:pPr>
    <w:rPr>
      <w:rFonts w:ascii="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B867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6C00451" TargetMode="External"/><Relationship Id="rId3" Type="http://schemas.microsoft.com/office/2007/relationships/stylesWithEffects" Target="stylesWithEffects.xml"/><Relationship Id="rId7" Type="http://schemas.openxmlformats.org/officeDocument/2006/relationships/hyperlink" Target="https://agedcare.health.gov.au/sites/g/files/net1426/f/documents/07_2014/16_-removal-high-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gov.au/internet/main/publishing.nsf/content/22F660E959ABF390CA257BF0001F3CF3/$File/Fact_Sheet_CDM_Individual_Allied_Health_Services_Provider_Info_Feb_1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au/Details/F2016C00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noelp</dc:creator>
  <cp:keywords/>
  <dc:description/>
  <cp:lastModifiedBy>noelp</cp:lastModifiedBy>
  <cp:revision>19</cp:revision>
  <dcterms:created xsi:type="dcterms:W3CDTF">2018-02-19T12:39:00Z</dcterms:created>
  <dcterms:modified xsi:type="dcterms:W3CDTF">2018-03-08T05:39:00Z</dcterms:modified>
</cp:coreProperties>
</file>